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58EA" w14:textId="77777777" w:rsidR="002154BE" w:rsidRPr="00840983" w:rsidRDefault="002154BE" w:rsidP="00AD187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C117E">
        <w:rPr>
          <w:rFonts w:ascii="Times New Roman" w:hAnsi="Times New Roman" w:cs="Times New Roman"/>
          <w:b/>
          <w:iCs/>
          <w:sz w:val="24"/>
          <w:szCs w:val="24"/>
        </w:rPr>
        <w:t>СОГЛАСИЕ ПОЛЬЗОВАТЕЛЯ САЙТА «ПУЛЬС»</w:t>
      </w:r>
    </w:p>
    <w:p w14:paraId="5FA05B1B" w14:textId="77777777" w:rsidR="007E3A84" w:rsidRDefault="007E3A84">
      <w:pPr>
        <w:jc w:val="both"/>
        <w:rPr>
          <w:rFonts w:cs="Times New Roman"/>
        </w:rPr>
      </w:pPr>
    </w:p>
    <w:p w14:paraId="6AC094E2" w14:textId="3609CFB6" w:rsidR="002154BE" w:rsidRPr="007E3A84" w:rsidRDefault="002154BE" w:rsidP="00ED45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3A84">
        <w:rPr>
          <w:rFonts w:ascii="Times New Roman" w:hAnsi="Times New Roman" w:cs="Times New Roman"/>
          <w:iCs/>
          <w:sz w:val="24"/>
          <w:szCs w:val="24"/>
        </w:rPr>
        <w:t>Я - пользователь сайта «Пульс», доступного в сети интернет по адресу _</w:t>
      </w:r>
      <w:r w:rsidR="002D2750">
        <w:rPr>
          <w:rFonts w:ascii="Times New Roman" w:hAnsi="Times New Roman" w:cs="Times New Roman"/>
          <w:iCs/>
          <w:sz w:val="24"/>
          <w:szCs w:val="24"/>
          <w:lang w:val="en-US"/>
        </w:rPr>
        <w:t>pulse</w:t>
      </w:r>
      <w:r w:rsidR="002D2750" w:rsidRPr="002D2750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2D2750">
        <w:rPr>
          <w:rFonts w:ascii="Times New Roman" w:hAnsi="Times New Roman" w:cs="Times New Roman"/>
          <w:iCs/>
          <w:sz w:val="24"/>
          <w:szCs w:val="24"/>
          <w:lang w:val="en-US"/>
        </w:rPr>
        <w:t>hr</w:t>
      </w:r>
      <w:proofErr w:type="spellEnd"/>
      <w:r w:rsidR="002D2750" w:rsidRPr="002D2750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2D2750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7E3A84">
        <w:rPr>
          <w:rFonts w:ascii="Times New Roman" w:hAnsi="Times New Roman" w:cs="Times New Roman"/>
          <w:iCs/>
          <w:sz w:val="24"/>
          <w:szCs w:val="24"/>
        </w:rPr>
        <w:t>,</w:t>
      </w:r>
    </w:p>
    <w:p w14:paraId="791C8DD8" w14:textId="4D87AF9E" w:rsidR="002154BE" w:rsidRDefault="002154BE" w:rsidP="00E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действуя свободно, своей волей и в своем интересе, даю ПАО Сбербанк (адрес: Российская Федерация, 117997, г. Москва, ул. Вавилова, д.19) (далее – Банк):</w:t>
      </w:r>
    </w:p>
    <w:p w14:paraId="69692B18" w14:textId="77777777" w:rsidR="003967D7" w:rsidRPr="00ED45DF" w:rsidRDefault="003967D7" w:rsidP="00E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A9F50" w14:textId="77777777" w:rsidR="002154BE" w:rsidRPr="00ED45DF" w:rsidRDefault="002154BE" w:rsidP="00ED45DF">
      <w:pPr>
        <w:pStyle w:val="ae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моих персональных данных 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средств автоматизации и без таковых, на следующих условиях (далее – Согласие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163EA60B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цели обработки: </w:t>
      </w:r>
    </w:p>
    <w:p w14:paraId="7C74AFA3" w14:textId="77777777" w:rsidR="002154BE" w:rsidRPr="00ED45DF" w:rsidRDefault="002154BE" w:rsidP="00ED45DF">
      <w:pPr>
        <w:pStyle w:val="ae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возможности подачи заявки на проведение демонстрации функциональных возможностей сайта «Пульс»; </w:t>
      </w:r>
    </w:p>
    <w:p w14:paraId="2382F089" w14:textId="77777777" w:rsidR="002154BE" w:rsidRPr="00ED45DF" w:rsidRDefault="002154BE" w:rsidP="00ED45DF">
      <w:pPr>
        <w:pStyle w:val="ae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проведение демонстрации функциональных возможностей сайта «Пульс»;</w:t>
      </w:r>
    </w:p>
    <w:p w14:paraId="71527608" w14:textId="77777777" w:rsidR="002154BE" w:rsidRPr="00ED45DF" w:rsidRDefault="002154BE" w:rsidP="00ED45DF">
      <w:pPr>
        <w:pStyle w:val="ae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сайте «Пульс» и его функциональных возможностях;</w:t>
      </w:r>
    </w:p>
    <w:p w14:paraId="03870EF1" w14:textId="77777777" w:rsidR="002154BE" w:rsidRPr="00ED45DF" w:rsidRDefault="002154BE" w:rsidP="00ED45DF">
      <w:pPr>
        <w:pStyle w:val="ae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скачивание презентации с описанием сайта «Пульс» и его функциональных возможностей.</w:t>
      </w:r>
    </w:p>
    <w:p w14:paraId="6F54D4BE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состав обрабатываемых персональных данных: </w:t>
      </w:r>
    </w:p>
    <w:p w14:paraId="247268C6" w14:textId="77777777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14:paraId="542A2F32" w14:textId="77777777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телефона;</w:t>
      </w:r>
    </w:p>
    <w:p w14:paraId="71618500" w14:textId="77777777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14:paraId="45384A29" w14:textId="321BAC28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должность;</w:t>
      </w:r>
    </w:p>
    <w:p w14:paraId="1B81D5CC" w14:textId="54AF732B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лица/ФИО ИП</w:t>
      </w:r>
      <w:r w:rsidR="00687FCA" w:rsidRPr="00687F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3B0D9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действия, совершаемые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(предоставление, доступ) лицам, указанным в п. 1.4 Согласия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D46872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передача персональных данных: </w:t>
      </w:r>
    </w:p>
    <w:p w14:paraId="00B7C1AC" w14:textId="248E509E" w:rsidR="002154BE" w:rsidRPr="00ED45DF" w:rsidRDefault="002154BE" w:rsidP="00E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Банк может осуществлять передачу (предоставление, доступ) персональных данных ООО</w:t>
      </w:r>
      <w:r w:rsidR="008B48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«КОРУС Консалтинг СНГ» (ИНН: 7801392271, юридический адрес: 194100, город Санкт-Петербург,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Большой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Сампсониевский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, д. 68 литер Н, помещение 1н) в целях </w:t>
      </w:r>
      <w:r w:rsidR="001A6E76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п. 1.1. Согласия </w:t>
      </w:r>
      <w:proofErr w:type="spellStart"/>
      <w:r w:rsidR="001A6E76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="001873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48D9850" w14:textId="02B782B6" w:rsidR="002154BE" w:rsidRDefault="002154BE" w:rsidP="00ED45DF">
      <w:pPr>
        <w:pStyle w:val="ae"/>
        <w:numPr>
          <w:ilvl w:val="1"/>
          <w:numId w:val="7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срок обработки: Согласие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действует с момента его предоставления путем </w:t>
      </w:r>
      <w:r w:rsidR="00527DA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6E76">
        <w:rPr>
          <w:rFonts w:ascii="Times New Roman" w:eastAsia="Times New Roman" w:hAnsi="Times New Roman" w:cs="Times New Roman"/>
          <w:sz w:val="24"/>
          <w:szCs w:val="24"/>
        </w:rPr>
        <w:t xml:space="preserve">роставления чек-бокса (галочки) в форме на сайте 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DC54FC">
        <w:rPr>
          <w:rFonts w:ascii="Times New Roman" w:eastAsia="Times New Roman" w:hAnsi="Times New Roman" w:cs="Times New Roman"/>
          <w:sz w:val="24"/>
          <w:szCs w:val="24"/>
        </w:rPr>
        <w:t>2 лет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или до момента </w:t>
      </w:r>
      <w:proofErr w:type="gramStart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отзыва Согласия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proofErr w:type="gram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или до достижения вышеуказанных целей обработки персональных данных.</w:t>
      </w:r>
    </w:p>
    <w:p w14:paraId="3E26E274" w14:textId="2C1DBBC6" w:rsidR="007E3A84" w:rsidRDefault="007E3A84" w:rsidP="00ED45DF">
      <w:pPr>
        <w:pStyle w:val="ae"/>
        <w:tabs>
          <w:tab w:val="left" w:pos="709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95A66" w14:textId="77777777" w:rsidR="007E3A84" w:rsidRPr="00ED45DF" w:rsidRDefault="007E3A84" w:rsidP="00ED45DF">
      <w:pPr>
        <w:pStyle w:val="ae"/>
        <w:tabs>
          <w:tab w:val="left" w:pos="709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8EAB6" w14:textId="32F126A0" w:rsidR="002154BE" w:rsidRPr="00ED45DF" w:rsidRDefault="002154BE" w:rsidP="00ED45DF">
      <w:pPr>
        <w:pStyle w:val="ae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b/>
          <w:sz w:val="24"/>
          <w:szCs w:val="24"/>
        </w:rPr>
        <w:t>Согласие на получение рекламы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путем совершения голосовых вызовов, </w:t>
      </w:r>
      <w:r w:rsidRPr="00ED45DF">
        <w:rPr>
          <w:rFonts w:ascii="Times New Roman" w:hAnsi="Times New Roman" w:cs="Times New Roman"/>
          <w:sz w:val="24"/>
          <w:szCs w:val="24"/>
        </w:rPr>
        <w:t xml:space="preserve">направления смс-сообщений, </w:t>
      </w:r>
      <w:r w:rsidRPr="00ED45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45DF">
        <w:rPr>
          <w:rFonts w:ascii="Times New Roman" w:hAnsi="Times New Roman" w:cs="Times New Roman"/>
          <w:sz w:val="24"/>
          <w:szCs w:val="24"/>
        </w:rPr>
        <w:t>-</w:t>
      </w:r>
      <w:r w:rsidRPr="00ED45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45DF">
        <w:rPr>
          <w:rFonts w:ascii="Times New Roman" w:hAnsi="Times New Roman" w:cs="Times New Roman"/>
          <w:sz w:val="24"/>
          <w:szCs w:val="24"/>
        </w:rPr>
        <w:t xml:space="preserve"> писем), а также </w:t>
      </w:r>
      <w:r w:rsidRPr="00ED45DF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моих персональных данных 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средств автоматизации и без таковых, на следующих условиях (далее – Согласие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РПДн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41F12F8E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цели обработки: </w:t>
      </w:r>
    </w:p>
    <w:p w14:paraId="5CBA3E3D" w14:textId="77777777" w:rsidR="002154BE" w:rsidRPr="007E3A84" w:rsidRDefault="002154BE" w:rsidP="00ED45DF">
      <w:pPr>
        <w:pStyle w:val="HTML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t>направление рекламы (маркетинговые и информационные рассылки);</w:t>
      </w:r>
    </w:p>
    <w:p w14:paraId="6FF29A53" w14:textId="50D12A68" w:rsidR="002154BE" w:rsidRPr="007E3A84" w:rsidRDefault="002154BE" w:rsidP="00ED45DF">
      <w:pPr>
        <w:pStyle w:val="HTML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t xml:space="preserve">информирование об обновлениях/изменениях </w:t>
      </w:r>
      <w:r w:rsidR="00DC54FC">
        <w:rPr>
          <w:rFonts w:ascii="Times New Roman" w:hAnsi="Times New Roman" w:cs="Times New Roman"/>
          <w:sz w:val="24"/>
          <w:szCs w:val="24"/>
        </w:rPr>
        <w:t>платформы</w:t>
      </w:r>
      <w:r w:rsidR="0038437C">
        <w:rPr>
          <w:rFonts w:ascii="Times New Roman" w:hAnsi="Times New Roman" w:cs="Times New Roman"/>
          <w:sz w:val="24"/>
          <w:szCs w:val="24"/>
        </w:rPr>
        <w:t xml:space="preserve"> «Пульс»</w:t>
      </w:r>
      <w:r w:rsidRPr="007E3A84">
        <w:rPr>
          <w:rFonts w:ascii="Times New Roman" w:hAnsi="Times New Roman" w:cs="Times New Roman"/>
          <w:sz w:val="24"/>
          <w:szCs w:val="24"/>
        </w:rPr>
        <w:t>;</w:t>
      </w:r>
    </w:p>
    <w:p w14:paraId="49175F22" w14:textId="51BD778D" w:rsidR="002154BE" w:rsidRPr="007E3A84" w:rsidRDefault="002154BE" w:rsidP="00ED45DF">
      <w:pPr>
        <w:pStyle w:val="HTML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t xml:space="preserve">информирование об условиях и порядке приобретения доступов к </w:t>
      </w:r>
      <w:r w:rsidR="00DC54FC">
        <w:rPr>
          <w:rFonts w:ascii="Times New Roman" w:hAnsi="Times New Roman" w:cs="Times New Roman"/>
          <w:sz w:val="24"/>
          <w:szCs w:val="24"/>
        </w:rPr>
        <w:t>платформе</w:t>
      </w:r>
      <w:r w:rsidR="0038437C">
        <w:rPr>
          <w:rFonts w:ascii="Times New Roman" w:hAnsi="Times New Roman" w:cs="Times New Roman"/>
          <w:sz w:val="24"/>
          <w:szCs w:val="24"/>
        </w:rPr>
        <w:t xml:space="preserve"> «Пульс»</w:t>
      </w:r>
      <w:r w:rsidRPr="007E3A84">
        <w:rPr>
          <w:rFonts w:ascii="Times New Roman" w:hAnsi="Times New Roman" w:cs="Times New Roman"/>
          <w:sz w:val="24"/>
          <w:szCs w:val="24"/>
        </w:rPr>
        <w:t>;</w:t>
      </w:r>
    </w:p>
    <w:p w14:paraId="20A9744B" w14:textId="0CFAA950" w:rsidR="002154BE" w:rsidRPr="007E3A84" w:rsidRDefault="002154BE" w:rsidP="00ED45DF">
      <w:pPr>
        <w:pStyle w:val="HTML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t>информирование об участии в мероприятиях</w:t>
      </w:r>
      <w:r w:rsidR="00DC54FC">
        <w:rPr>
          <w:rFonts w:ascii="Times New Roman" w:hAnsi="Times New Roman" w:cs="Times New Roman"/>
          <w:sz w:val="24"/>
          <w:szCs w:val="24"/>
        </w:rPr>
        <w:t>, связанных с платформой «Пульс»</w:t>
      </w:r>
      <w:r w:rsidRPr="007E3A84">
        <w:rPr>
          <w:rFonts w:ascii="Times New Roman" w:hAnsi="Times New Roman" w:cs="Times New Roman"/>
          <w:sz w:val="24"/>
          <w:szCs w:val="24"/>
        </w:rPr>
        <w:t>;</w:t>
      </w:r>
    </w:p>
    <w:p w14:paraId="1FDF2C07" w14:textId="03408003" w:rsidR="002154BE" w:rsidRPr="007E3A84" w:rsidRDefault="002154BE" w:rsidP="00ED45DF">
      <w:pPr>
        <w:pStyle w:val="HTML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 наградах, врученных Банку за создание и администрирование </w:t>
      </w:r>
      <w:r w:rsidR="00DC54FC">
        <w:rPr>
          <w:rFonts w:ascii="Times New Roman" w:hAnsi="Times New Roman" w:cs="Times New Roman"/>
          <w:sz w:val="24"/>
          <w:szCs w:val="24"/>
        </w:rPr>
        <w:t>платформы</w:t>
      </w:r>
      <w:r w:rsidRPr="007E3A84">
        <w:rPr>
          <w:rFonts w:ascii="Times New Roman" w:hAnsi="Times New Roman" w:cs="Times New Roman"/>
          <w:sz w:val="24"/>
          <w:szCs w:val="24"/>
        </w:rPr>
        <w:t xml:space="preserve"> «Пульс»;</w:t>
      </w:r>
    </w:p>
    <w:p w14:paraId="4FA8C6A8" w14:textId="3265D0BC" w:rsidR="002154BE" w:rsidRPr="007E3A84" w:rsidRDefault="002154BE" w:rsidP="00ED45DF">
      <w:pPr>
        <w:pStyle w:val="ae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историях успешного использования </w:t>
      </w:r>
      <w:r w:rsidR="00DC54FC">
        <w:rPr>
          <w:rFonts w:ascii="Times New Roman" w:hAnsi="Times New Roman" w:cs="Times New Roman"/>
          <w:sz w:val="24"/>
          <w:szCs w:val="24"/>
        </w:rPr>
        <w:t>платформы</w:t>
      </w:r>
      <w:r w:rsidRPr="007E3A84">
        <w:rPr>
          <w:rFonts w:ascii="Times New Roman" w:hAnsi="Times New Roman" w:cs="Times New Roman"/>
          <w:sz w:val="24"/>
          <w:szCs w:val="24"/>
        </w:rPr>
        <w:t xml:space="preserve"> «Пульс» клиентами и партнерами Банка.</w:t>
      </w:r>
    </w:p>
    <w:p w14:paraId="18DA0B20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состав обрабатываемых персональных данных: </w:t>
      </w:r>
    </w:p>
    <w:p w14:paraId="7FE99A45" w14:textId="77777777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14:paraId="3FD04C7E" w14:textId="77777777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телефона;</w:t>
      </w:r>
    </w:p>
    <w:p w14:paraId="35134854" w14:textId="77777777" w:rsidR="002154BE" w:rsidRPr="00ED45DF" w:rsidRDefault="002154BE" w:rsidP="00ED45DF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почты.</w:t>
      </w:r>
    </w:p>
    <w:p w14:paraId="3FCA8E17" w14:textId="61ACB06E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действия, совершаемые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(предоставление, доступ) лицам, указанным в п. 2.4 Согласия </w:t>
      </w:r>
      <w:proofErr w:type="spellStart"/>
      <w:r w:rsidR="001E32D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B9DE72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передача персональных данных: </w:t>
      </w:r>
    </w:p>
    <w:p w14:paraId="6D97B04D" w14:textId="16E6B0C1" w:rsidR="002154BE" w:rsidRPr="00ED45DF" w:rsidRDefault="002154BE" w:rsidP="00E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Банк может осуществлять передачу (предоставление, доступ) персональных данных ООО «КОРУС Консалтинг СНГ» (ИНН: 7801392271, юридический адрес: 194100, город Санкт-Петербург,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Большой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Сампсониевский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>, д. 68 литер Н, помещение 1н) в целях</w:t>
      </w:r>
      <w:r w:rsidR="00DC54FC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 2.1 Согласия </w:t>
      </w:r>
      <w:proofErr w:type="spellStart"/>
      <w:r w:rsidR="00DC54FC">
        <w:rPr>
          <w:rFonts w:ascii="Times New Roman" w:eastAsia="Times New Roman" w:hAnsi="Times New Roman" w:cs="Times New Roman"/>
          <w:sz w:val="24"/>
          <w:szCs w:val="24"/>
        </w:rPr>
        <w:t>РПДн</w:t>
      </w:r>
      <w:proofErr w:type="spellEnd"/>
      <w:r w:rsidR="00DC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____________________.   </w:t>
      </w:r>
    </w:p>
    <w:p w14:paraId="6F536199" w14:textId="3DB1F88D" w:rsidR="002154BE" w:rsidRPr="00ED45DF" w:rsidRDefault="002154BE" w:rsidP="00ED45DF">
      <w:pPr>
        <w:pStyle w:val="ae"/>
        <w:numPr>
          <w:ilvl w:val="1"/>
          <w:numId w:val="7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срок обработки: Согласие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РПДн</w:t>
      </w:r>
      <w:proofErr w:type="spell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действует с момента его предоставления путем</w:t>
      </w:r>
      <w:r w:rsidR="00527DA4">
        <w:rPr>
          <w:rFonts w:ascii="Times New Roman" w:eastAsia="Times New Roman" w:hAnsi="Times New Roman" w:cs="Times New Roman"/>
          <w:sz w:val="24"/>
          <w:szCs w:val="24"/>
        </w:rPr>
        <w:t xml:space="preserve"> проставления чек-бокса (галочки) в форме на сайте </w:t>
      </w:r>
      <w:r w:rsidR="00527DA4" w:rsidRPr="00ED45D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527DA4">
        <w:rPr>
          <w:rFonts w:ascii="Times New Roman" w:eastAsia="Times New Roman" w:hAnsi="Times New Roman" w:cs="Times New Roman"/>
          <w:sz w:val="24"/>
          <w:szCs w:val="24"/>
        </w:rPr>
        <w:t>2 лет</w:t>
      </w:r>
      <w:r w:rsidR="00527DA4" w:rsidRPr="00ED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или до момента </w:t>
      </w:r>
      <w:proofErr w:type="gramStart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отзыва Согласия </w:t>
      </w:r>
      <w:proofErr w:type="spellStart"/>
      <w:r w:rsidRPr="00ED45DF">
        <w:rPr>
          <w:rFonts w:ascii="Times New Roman" w:eastAsia="Times New Roman" w:hAnsi="Times New Roman" w:cs="Times New Roman"/>
          <w:sz w:val="24"/>
          <w:szCs w:val="24"/>
        </w:rPr>
        <w:t>РПДн</w:t>
      </w:r>
      <w:proofErr w:type="spellEnd"/>
      <w:proofErr w:type="gramEnd"/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 или до достижения вышеуказанных целей обработки персональных данных.</w:t>
      </w:r>
    </w:p>
    <w:p w14:paraId="6CD40C83" w14:textId="089356BA" w:rsidR="002154BE" w:rsidRDefault="002154BE" w:rsidP="00E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2D9E4" w14:textId="77777777" w:rsidR="007E3A84" w:rsidRPr="00ED45DF" w:rsidRDefault="007E3A84" w:rsidP="00E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0E704" w14:textId="77777777" w:rsidR="002154BE" w:rsidRPr="00ED45DF" w:rsidRDefault="002154BE" w:rsidP="00ED45DF">
      <w:pPr>
        <w:pStyle w:val="ae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</w:t>
      </w:r>
      <w:r w:rsidRPr="00ED45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cookie</w:t>
      </w:r>
      <w:r w:rsidRPr="00ED45DF">
        <w:rPr>
          <w:rFonts w:ascii="Times New Roman" w:eastAsia="Times New Roman" w:hAnsi="Times New Roman" w:cs="Times New Roman"/>
          <w:b/>
          <w:sz w:val="24"/>
          <w:szCs w:val="24"/>
        </w:rPr>
        <w:t xml:space="preserve">-файлов*, 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являющихся моими персональными данными, с использованием средств автоматизации и без таковых, на следующих условиях (далее – Согласие </w:t>
      </w:r>
      <w:r w:rsidRPr="00ED45DF">
        <w:rPr>
          <w:rFonts w:ascii="Times New Roman" w:eastAsia="Times New Roman" w:hAnsi="Times New Roman" w:cs="Times New Roman"/>
          <w:sz w:val="24"/>
          <w:szCs w:val="24"/>
          <w:lang w:val="en-US"/>
        </w:rPr>
        <w:t>Cookie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DDB4DCF" w14:textId="77777777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цели обработки: </w:t>
      </w:r>
    </w:p>
    <w:p w14:paraId="642D9661" w14:textId="77777777" w:rsidR="00CE7A18" w:rsidRPr="00CE7A18" w:rsidRDefault="00CE7A18" w:rsidP="00CE7A18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18">
        <w:rPr>
          <w:rFonts w:ascii="Times New Roman" w:eastAsia="Times New Roman" w:hAnsi="Times New Roman" w:cs="Times New Roman"/>
          <w:sz w:val="24"/>
          <w:szCs w:val="24"/>
        </w:rPr>
        <w:t xml:space="preserve">улучшение работы сайта, </w:t>
      </w:r>
    </w:p>
    <w:p w14:paraId="2144D15F" w14:textId="5B9E4A7A" w:rsidR="002154BE" w:rsidRPr="00ED45DF" w:rsidRDefault="00CE7A18" w:rsidP="00CE7A18">
      <w:pPr>
        <w:pStyle w:val="ae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A18">
        <w:rPr>
          <w:rFonts w:ascii="Times New Roman" w:eastAsia="Times New Roman" w:hAnsi="Times New Roman" w:cs="Times New Roman"/>
          <w:sz w:val="24"/>
          <w:szCs w:val="24"/>
        </w:rPr>
        <w:t>определение предпочтений пользователя</w:t>
      </w:r>
    </w:p>
    <w:p w14:paraId="6820F4D0" w14:textId="77777777" w:rsidR="002154BE" w:rsidRPr="00ED45DF" w:rsidRDefault="002154BE" w:rsidP="00ED45DF">
      <w:pPr>
        <w:pStyle w:val="HTML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5DF">
        <w:rPr>
          <w:rFonts w:ascii="Times New Roman" w:hAnsi="Times New Roman" w:cs="Times New Roman"/>
          <w:sz w:val="24"/>
          <w:szCs w:val="24"/>
        </w:rPr>
        <w:t xml:space="preserve">состав обрабатываемых персональных данных: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3005"/>
        <w:gridCol w:w="2959"/>
      </w:tblGrid>
      <w:tr w:rsidR="002154BE" w:rsidRPr="00D6526E" w14:paraId="6DFE0B96" w14:textId="77777777" w:rsidTr="002B7BF6">
        <w:tc>
          <w:tcPr>
            <w:tcW w:w="3021" w:type="dxa"/>
            <w:shd w:val="clear" w:color="auto" w:fill="C4BC96" w:themeFill="background2" w:themeFillShade="BF"/>
          </w:tcPr>
          <w:p w14:paraId="535CBE75" w14:textId="77777777" w:rsidR="002154BE" w:rsidRPr="00D6526E" w:rsidRDefault="002154BE" w:rsidP="00DD56A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65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cookie </w:t>
            </w: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файла</w:t>
            </w:r>
          </w:p>
        </w:tc>
        <w:tc>
          <w:tcPr>
            <w:tcW w:w="3005" w:type="dxa"/>
            <w:shd w:val="clear" w:color="auto" w:fill="C4BC96" w:themeFill="background2" w:themeFillShade="BF"/>
          </w:tcPr>
          <w:p w14:paraId="280361C0" w14:textId="77777777" w:rsidR="002154BE" w:rsidRPr="00D6526E" w:rsidRDefault="002154BE" w:rsidP="00DD56A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какая информация собирается с его помощью</w:t>
            </w:r>
          </w:p>
        </w:tc>
        <w:tc>
          <w:tcPr>
            <w:tcW w:w="2959" w:type="dxa"/>
            <w:shd w:val="clear" w:color="auto" w:fill="C4BC96" w:themeFill="background2" w:themeFillShade="BF"/>
          </w:tcPr>
          <w:p w14:paraId="24C9D506" w14:textId="77777777" w:rsidR="002154BE" w:rsidRPr="00D6526E" w:rsidRDefault="002154BE" w:rsidP="00DD56A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</w:tr>
      <w:tr w:rsidR="002B7BF6" w:rsidRPr="00D6526E" w14:paraId="6AA42C33" w14:textId="77777777" w:rsidTr="002B7BF6">
        <w:tc>
          <w:tcPr>
            <w:tcW w:w="3021" w:type="dxa"/>
          </w:tcPr>
          <w:p w14:paraId="6EC266ED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yabs-sid</w:t>
            </w:r>
            <w:proofErr w:type="spellEnd"/>
          </w:p>
          <w:p w14:paraId="32F387A9" w14:textId="77777777" w:rsidR="002B7BF6" w:rsidRPr="00C9262F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3A83815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Идентификатор визита. Этот домен принадлежит </w:t>
            </w:r>
            <w:proofErr w:type="spellStart"/>
            <w:r w:rsidRPr="00730407">
              <w:rPr>
                <w:rFonts w:eastAsiaTheme="minorHAnsi"/>
                <w:lang w:eastAsia="en-US"/>
              </w:rPr>
              <w:t>Yandex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30407">
              <w:rPr>
                <w:rFonts w:eastAsiaTheme="minorHAnsi"/>
                <w:lang w:eastAsia="en-US"/>
              </w:rPr>
              <w:t>Основнои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вид деятельности: русскоязычная поисковая система. </w:t>
            </w:r>
            <w:proofErr w:type="spellStart"/>
            <w:r w:rsidRPr="00730407">
              <w:rPr>
                <w:rFonts w:eastAsiaTheme="minorHAnsi"/>
                <w:lang w:eastAsia="en-US"/>
              </w:rPr>
              <w:t>Поддомен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MC связан с их </w:t>
            </w:r>
            <w:proofErr w:type="spellStart"/>
            <w:r w:rsidRPr="00730407">
              <w:rPr>
                <w:rFonts w:eastAsiaTheme="minorHAnsi"/>
                <w:lang w:eastAsia="en-US"/>
              </w:rPr>
              <w:t>службои</w:t>
            </w:r>
            <w:proofErr w:type="spellEnd"/>
            <w:r w:rsidRPr="00730407">
              <w:rPr>
                <w:rFonts w:eastAsiaTheme="minorHAnsi"/>
                <w:lang w:eastAsia="en-US"/>
              </w:rPr>
              <w:t>̆ веб-аналитики.</w:t>
            </w:r>
          </w:p>
        </w:tc>
        <w:tc>
          <w:tcPr>
            <w:tcW w:w="2959" w:type="dxa"/>
          </w:tcPr>
          <w:p w14:paraId="277C67BB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Тип 3</w:t>
            </w:r>
          </w:p>
        </w:tc>
      </w:tr>
      <w:tr w:rsidR="002B7BF6" w:rsidRPr="00D6526E" w14:paraId="73F7F48E" w14:textId="77777777" w:rsidTr="002B7BF6">
        <w:tc>
          <w:tcPr>
            <w:tcW w:w="3021" w:type="dxa"/>
          </w:tcPr>
          <w:p w14:paraId="3740945E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yp</w:t>
            </w:r>
            <w:proofErr w:type="spellEnd"/>
          </w:p>
          <w:p w14:paraId="4388ACF2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</w:tcPr>
          <w:p w14:paraId="6D5F8EBC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Этот домен принадлежит </w:t>
            </w:r>
            <w:proofErr w:type="spellStart"/>
            <w:r w:rsidRPr="00730407">
              <w:rPr>
                <w:rFonts w:eastAsiaTheme="minorHAnsi"/>
                <w:lang w:eastAsia="en-US"/>
              </w:rPr>
              <w:t>Yandex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30407">
              <w:rPr>
                <w:rFonts w:eastAsiaTheme="minorHAnsi"/>
                <w:lang w:eastAsia="en-US"/>
              </w:rPr>
              <w:t>Основнои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вид деятельности: </w:t>
            </w:r>
            <w:proofErr w:type="spellStart"/>
            <w:r w:rsidRPr="00730407">
              <w:rPr>
                <w:rFonts w:eastAsiaTheme="minorHAnsi"/>
                <w:lang w:eastAsia="en-US"/>
              </w:rPr>
              <w:t>российская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поисковая система.</w:t>
            </w:r>
          </w:p>
        </w:tc>
        <w:tc>
          <w:tcPr>
            <w:tcW w:w="2959" w:type="dxa"/>
          </w:tcPr>
          <w:p w14:paraId="05F3C5CD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Тип 4</w:t>
            </w:r>
          </w:p>
        </w:tc>
      </w:tr>
      <w:tr w:rsidR="002B7BF6" w:rsidRPr="00D6526E" w14:paraId="51B8F0DA" w14:textId="77777777" w:rsidTr="002B7BF6">
        <w:tc>
          <w:tcPr>
            <w:tcW w:w="3021" w:type="dxa"/>
          </w:tcPr>
          <w:p w14:paraId="0A6DD670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32C83B10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</w:tcPr>
          <w:p w14:paraId="468EAD61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lastRenderedPageBreak/>
              <w:t xml:space="preserve">Используется сервисом </w:t>
            </w:r>
            <w:proofErr w:type="spellStart"/>
            <w:r w:rsidRPr="00730407">
              <w:rPr>
                <w:rFonts w:eastAsiaTheme="minorHAnsi"/>
                <w:lang w:eastAsia="en-US"/>
              </w:rPr>
              <w:t>Яндекс.Метрика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для </w:t>
            </w:r>
            <w:r w:rsidRPr="00730407">
              <w:rPr>
                <w:rFonts w:eastAsiaTheme="minorHAnsi"/>
                <w:lang w:eastAsia="en-US"/>
              </w:rPr>
              <w:lastRenderedPageBreak/>
              <w:t xml:space="preserve">хранения даты первого визита посетителя на </w:t>
            </w:r>
            <w:proofErr w:type="spellStart"/>
            <w:r w:rsidRPr="00730407">
              <w:rPr>
                <w:rFonts w:eastAsiaTheme="minorHAnsi"/>
                <w:lang w:eastAsia="en-US"/>
              </w:rPr>
              <w:t>сайт</w:t>
            </w:r>
            <w:proofErr w:type="spellEnd"/>
          </w:p>
        </w:tc>
        <w:tc>
          <w:tcPr>
            <w:tcW w:w="2959" w:type="dxa"/>
          </w:tcPr>
          <w:p w14:paraId="6A9E3089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lastRenderedPageBreak/>
              <w:t>Тип 1</w:t>
            </w:r>
          </w:p>
        </w:tc>
      </w:tr>
      <w:tr w:rsidR="002B7BF6" w:rsidRPr="00D6526E" w14:paraId="41FFA56A" w14:textId="77777777" w:rsidTr="002B7BF6">
        <w:tc>
          <w:tcPr>
            <w:tcW w:w="3021" w:type="dxa"/>
          </w:tcPr>
          <w:p w14:paraId="3EFCC96A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ym_uid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02C7C8C5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</w:tcPr>
          <w:p w14:paraId="456DD833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Используется сервисом </w:t>
            </w:r>
            <w:proofErr w:type="spellStart"/>
            <w:r w:rsidRPr="00730407">
              <w:rPr>
                <w:rFonts w:eastAsiaTheme="minorHAnsi"/>
                <w:lang w:eastAsia="en-US"/>
              </w:rPr>
              <w:t>Яндекс.Метрика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для хранения идентификатора клиента.</w:t>
            </w:r>
          </w:p>
        </w:tc>
        <w:tc>
          <w:tcPr>
            <w:tcW w:w="2959" w:type="dxa"/>
          </w:tcPr>
          <w:p w14:paraId="220C03EF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1 </w:t>
            </w:r>
          </w:p>
        </w:tc>
      </w:tr>
      <w:tr w:rsidR="002B7BF6" w:rsidRPr="00D6526E" w14:paraId="3EEA179E" w14:textId="77777777" w:rsidTr="002B7BF6">
        <w:tc>
          <w:tcPr>
            <w:tcW w:w="3021" w:type="dxa"/>
          </w:tcPr>
          <w:p w14:paraId="0779B930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ym_isad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63C22C92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B34B77B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Используется сервисом </w:t>
            </w:r>
            <w:proofErr w:type="spellStart"/>
            <w:r w:rsidRPr="00730407">
              <w:rPr>
                <w:rFonts w:eastAsiaTheme="minorHAnsi"/>
                <w:lang w:eastAsia="en-US"/>
              </w:rPr>
              <w:t>Яндекс.Метрика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для </w:t>
            </w:r>
            <w:proofErr w:type="spellStart"/>
            <w:r w:rsidRPr="00730407">
              <w:rPr>
                <w:rFonts w:eastAsiaTheme="minorHAnsi"/>
                <w:lang w:eastAsia="en-US"/>
              </w:rPr>
              <w:t>для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определения наличия у посетителя </w:t>
            </w:r>
            <w:proofErr w:type="spellStart"/>
            <w:r w:rsidRPr="00730407">
              <w:rPr>
                <w:rFonts w:eastAsiaTheme="minorHAnsi"/>
                <w:lang w:eastAsia="en-US"/>
              </w:rPr>
              <w:t>блокировщиков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рекламы.</w:t>
            </w:r>
          </w:p>
        </w:tc>
        <w:tc>
          <w:tcPr>
            <w:tcW w:w="2959" w:type="dxa"/>
          </w:tcPr>
          <w:p w14:paraId="206FA661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Тип 1</w:t>
            </w:r>
          </w:p>
          <w:p w14:paraId="764E8FA8" w14:textId="77777777" w:rsidR="002B7BF6" w:rsidRPr="00D6526E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F6" w:rsidRPr="00D6526E" w14:paraId="2A9FCE50" w14:textId="77777777" w:rsidTr="002B7BF6">
        <w:tc>
          <w:tcPr>
            <w:tcW w:w="3021" w:type="dxa"/>
          </w:tcPr>
          <w:p w14:paraId="3598DE58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ym_metrika_enabled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4496968F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01AB574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Проверяет, правильно ли установлены другие </w:t>
            </w:r>
            <w:proofErr w:type="spellStart"/>
            <w:r w:rsidRPr="00730407">
              <w:rPr>
                <w:rFonts w:eastAsiaTheme="minorHAnsi"/>
                <w:lang w:eastAsia="en-US"/>
              </w:rPr>
              <w:t>cookies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Метрики </w:t>
            </w:r>
          </w:p>
        </w:tc>
        <w:tc>
          <w:tcPr>
            <w:tcW w:w="2959" w:type="dxa"/>
          </w:tcPr>
          <w:p w14:paraId="7BB0043F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1 </w:t>
            </w:r>
          </w:p>
        </w:tc>
      </w:tr>
      <w:tr w:rsidR="002B7BF6" w:rsidRPr="00D6526E" w14:paraId="5973531B" w14:textId="77777777" w:rsidTr="002B7BF6">
        <w:tc>
          <w:tcPr>
            <w:tcW w:w="3021" w:type="dxa"/>
          </w:tcPr>
          <w:p w14:paraId="4FBA9C6B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ym_debug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450F880B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E2D94C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Индикатор включенного отладочного режима </w:t>
            </w:r>
          </w:p>
        </w:tc>
        <w:tc>
          <w:tcPr>
            <w:tcW w:w="2959" w:type="dxa"/>
          </w:tcPr>
          <w:p w14:paraId="3CB72781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</w:tc>
      </w:tr>
      <w:tr w:rsidR="002B7BF6" w:rsidRPr="00D6526E" w14:paraId="2C3730F4" w14:textId="77777777" w:rsidTr="002B7BF6">
        <w:tc>
          <w:tcPr>
            <w:tcW w:w="3021" w:type="dxa"/>
          </w:tcPr>
          <w:p w14:paraId="38482B72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ym_visorc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_* </w:t>
            </w:r>
          </w:p>
          <w:p w14:paraId="43B778D3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0A30A45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Используется для </w:t>
            </w:r>
            <w:proofErr w:type="spellStart"/>
            <w:r w:rsidRPr="00730407">
              <w:rPr>
                <w:rFonts w:eastAsiaTheme="minorHAnsi"/>
                <w:lang w:eastAsia="en-US"/>
              </w:rPr>
              <w:t>корректнои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работы </w:t>
            </w:r>
            <w:proofErr w:type="spellStart"/>
            <w:r w:rsidRPr="00730407">
              <w:rPr>
                <w:rFonts w:eastAsiaTheme="minorHAnsi"/>
                <w:lang w:eastAsia="en-US"/>
              </w:rPr>
              <w:t>Вебвизора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59" w:type="dxa"/>
          </w:tcPr>
          <w:p w14:paraId="39CDEE2E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</w:tc>
      </w:tr>
      <w:tr w:rsidR="002B7BF6" w:rsidRPr="00D6526E" w14:paraId="48B89C08" w14:textId="77777777" w:rsidTr="002B7BF6">
        <w:tc>
          <w:tcPr>
            <w:tcW w:w="3021" w:type="dxa"/>
          </w:tcPr>
          <w:p w14:paraId="5C5DDD1A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ym_hostIndex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17F80DD5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3760A0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Позволяет ограничить количество запросов </w:t>
            </w:r>
          </w:p>
        </w:tc>
        <w:tc>
          <w:tcPr>
            <w:tcW w:w="2959" w:type="dxa"/>
          </w:tcPr>
          <w:p w14:paraId="41828F19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1 </w:t>
            </w:r>
          </w:p>
        </w:tc>
      </w:tr>
      <w:tr w:rsidR="002B7BF6" w:rsidRPr="00D6526E" w14:paraId="63DF5EB4" w14:textId="77777777" w:rsidTr="002B7BF6">
        <w:tc>
          <w:tcPr>
            <w:tcW w:w="3021" w:type="dxa"/>
          </w:tcPr>
          <w:p w14:paraId="6D46B299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i </w:t>
            </w:r>
          </w:p>
        </w:tc>
        <w:tc>
          <w:tcPr>
            <w:tcW w:w="3005" w:type="dxa"/>
            <w:vMerge w:val="restart"/>
          </w:tcPr>
          <w:p w14:paraId="4C3E93AA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Позволяет различать </w:t>
            </w:r>
            <w:proofErr w:type="spellStart"/>
            <w:r w:rsidRPr="00730407">
              <w:rPr>
                <w:rFonts w:eastAsiaTheme="minorHAnsi"/>
                <w:lang w:eastAsia="en-US"/>
              </w:rPr>
              <w:t>посетителеи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</w:t>
            </w:r>
          </w:p>
        </w:tc>
        <w:tc>
          <w:tcPr>
            <w:tcW w:w="2959" w:type="dxa"/>
            <w:vMerge w:val="restart"/>
          </w:tcPr>
          <w:p w14:paraId="17B3B2CF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3 </w:t>
            </w:r>
          </w:p>
        </w:tc>
      </w:tr>
      <w:tr w:rsidR="002B7BF6" w:rsidRPr="00D6526E" w14:paraId="0F3AE262" w14:textId="77777777" w:rsidTr="002B7BF6">
        <w:tc>
          <w:tcPr>
            <w:tcW w:w="3021" w:type="dxa"/>
          </w:tcPr>
          <w:p w14:paraId="0B40FF61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yandexuid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05" w:type="dxa"/>
            <w:vMerge/>
          </w:tcPr>
          <w:p w14:paraId="5791D380" w14:textId="77777777" w:rsidR="002B7BF6" w:rsidRPr="00DD70D6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14:paraId="106BB63C" w14:textId="77777777" w:rsidR="002B7BF6" w:rsidRPr="00D6526E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F6" w:rsidRPr="00D6526E" w14:paraId="6EB337F0" w14:textId="77777777" w:rsidTr="002B7BF6">
        <w:tc>
          <w:tcPr>
            <w:tcW w:w="3021" w:type="dxa"/>
          </w:tcPr>
          <w:p w14:paraId="610B811F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yuidss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05" w:type="dxa"/>
            <w:vMerge/>
          </w:tcPr>
          <w:p w14:paraId="116572F5" w14:textId="77777777" w:rsidR="002B7BF6" w:rsidRPr="00DD70D6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14:paraId="7BF7DBAB" w14:textId="77777777" w:rsidR="002B7BF6" w:rsidRPr="00D6526E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F6" w:rsidRPr="00D6526E" w14:paraId="34638ECC" w14:textId="77777777" w:rsidTr="002B7BF6">
        <w:tc>
          <w:tcPr>
            <w:tcW w:w="3021" w:type="dxa"/>
          </w:tcPr>
          <w:p w14:paraId="6C75E619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ymex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02094D4A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9E6BB44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Хранит вспомогательную информацию для работы Метрики: время создания идентификаторов и их альтернативные значения.</w:t>
            </w:r>
          </w:p>
        </w:tc>
        <w:tc>
          <w:tcPr>
            <w:tcW w:w="2959" w:type="dxa"/>
          </w:tcPr>
          <w:p w14:paraId="63AB0010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  <w:p w14:paraId="322E46EC" w14:textId="77777777" w:rsidR="002B7BF6" w:rsidRPr="00D6526E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F6" w:rsidRPr="00D6526E" w14:paraId="40D074A5" w14:textId="77777777" w:rsidTr="002B7BF6">
        <w:tc>
          <w:tcPr>
            <w:tcW w:w="3021" w:type="dxa"/>
          </w:tcPr>
          <w:p w14:paraId="6A69F163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usst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7D5E5587" w14:textId="77777777" w:rsidR="002B7BF6" w:rsidRPr="00FC6F5B" w:rsidRDefault="002B7BF6" w:rsidP="00DE7357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70411D5" w14:textId="77777777" w:rsidR="002B7BF6" w:rsidRPr="00DE1B06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Хранит вспомогательную информацию для синхронизации идентификаторов </w:t>
            </w:r>
            <w:proofErr w:type="spellStart"/>
            <w:r w:rsidRPr="00730407">
              <w:rPr>
                <w:rFonts w:eastAsiaTheme="minorHAnsi"/>
                <w:lang w:eastAsia="en-US"/>
              </w:rPr>
              <w:t>посетителеи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между разными доменами Яндекса </w:t>
            </w:r>
          </w:p>
        </w:tc>
        <w:tc>
          <w:tcPr>
            <w:tcW w:w="2959" w:type="dxa"/>
          </w:tcPr>
          <w:p w14:paraId="622CE088" w14:textId="77777777" w:rsidR="002B7BF6" w:rsidRPr="00730407" w:rsidRDefault="002B7BF6" w:rsidP="00DE7357">
            <w:pPr>
              <w:pStyle w:val="af3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  <w:p w14:paraId="6EAEBE89" w14:textId="77777777" w:rsidR="002B7BF6" w:rsidRPr="00D6526E" w:rsidRDefault="002B7BF6" w:rsidP="00DE735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5769F" w14:textId="77777777" w:rsidR="002154BE" w:rsidRPr="001066A5" w:rsidRDefault="002154BE" w:rsidP="002154BE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</w:p>
    <w:p w14:paraId="37346A42" w14:textId="03EBF67A" w:rsidR="002154BE" w:rsidRPr="00ED45DF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действия, совершаемые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(предоставление, доступ) лицам, указанным в п. 3.4 Согласия </w:t>
      </w:r>
      <w:r w:rsidR="00BF1683" w:rsidRPr="00ED45DF">
        <w:rPr>
          <w:rFonts w:ascii="Times New Roman" w:eastAsia="Times New Roman" w:hAnsi="Times New Roman" w:cs="Times New Roman"/>
          <w:sz w:val="24"/>
          <w:szCs w:val="24"/>
          <w:lang w:val="en-US"/>
        </w:rPr>
        <w:t>Cookie</w:t>
      </w:r>
      <w:r w:rsidRPr="00ED4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A6C971" w14:textId="674C8DD1" w:rsidR="002154BE" w:rsidRPr="002B7BF6" w:rsidRDefault="002154BE" w:rsidP="00ED45DF">
      <w:pPr>
        <w:pStyle w:val="ae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F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данных:</w:t>
      </w:r>
      <w:r w:rsidR="003F0D22" w:rsidRPr="003F0D22">
        <w:rPr>
          <w:rFonts w:ascii="Times New Roman" w:eastAsia="Times New Roman" w:hAnsi="Times New Roman" w:cs="Times New Roman"/>
          <w:sz w:val="24"/>
          <w:szCs w:val="24"/>
        </w:rPr>
        <w:t xml:space="preserve"> Общества с ограниченной ответственностью «ЯНДЕКС»</w:t>
      </w:r>
      <w:r w:rsidRPr="002B7B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8ADB62" w14:textId="77777777" w:rsidR="002154BE" w:rsidRPr="006C117E" w:rsidRDefault="002154BE" w:rsidP="00ED45D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sz w:val="24"/>
          <w:szCs w:val="24"/>
        </w:rPr>
        <w:t xml:space="preserve">Сбор и анализ </w:t>
      </w:r>
      <w:r w:rsidRPr="007E3A84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7E3A84">
        <w:rPr>
          <w:rFonts w:ascii="Times New Roman" w:hAnsi="Times New Roman" w:cs="Times New Roman"/>
          <w:sz w:val="24"/>
          <w:szCs w:val="24"/>
        </w:rPr>
        <w:t xml:space="preserve"> файлов осуществляется с использованием инструментов </w:t>
      </w:r>
      <w:proofErr w:type="spellStart"/>
      <w:r w:rsidRPr="007E3A84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7E3A84">
        <w:rPr>
          <w:rFonts w:ascii="Times New Roman" w:hAnsi="Times New Roman" w:cs="Times New Roman"/>
          <w:sz w:val="24"/>
          <w:szCs w:val="24"/>
        </w:rPr>
        <w:t>.</w:t>
      </w:r>
    </w:p>
    <w:p w14:paraId="22574233" w14:textId="65B2CFC8" w:rsidR="007E3A84" w:rsidRPr="00ED45DF" w:rsidRDefault="00555717" w:rsidP="0018730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</w:t>
      </w:r>
      <w:r w:rsidR="002154BE" w:rsidRPr="00ED45DF">
        <w:rPr>
          <w:rFonts w:ascii="Times New Roman" w:eastAsia="Times New Roman" w:hAnsi="Times New Roman" w:cs="Times New Roman"/>
          <w:sz w:val="24"/>
          <w:szCs w:val="24"/>
        </w:rPr>
        <w:t xml:space="preserve">срок обработки: Согласие </w:t>
      </w:r>
      <w:proofErr w:type="spellStart"/>
      <w:r w:rsidR="002154BE" w:rsidRPr="00555717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="002154BE" w:rsidRPr="00ED45DF">
        <w:rPr>
          <w:rFonts w:ascii="Times New Roman" w:eastAsia="Times New Roman" w:hAnsi="Times New Roman" w:cs="Times New Roman"/>
          <w:sz w:val="24"/>
          <w:szCs w:val="24"/>
        </w:rPr>
        <w:t xml:space="preserve"> действует с момента его предоставления 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D22" w:rsidRPr="003F0D22">
        <w:rPr>
          <w:rFonts w:ascii="Times New Roman" w:eastAsia="Times New Roman" w:hAnsi="Times New Roman" w:cs="Times New Roman"/>
          <w:sz w:val="24"/>
          <w:szCs w:val="24"/>
        </w:rPr>
        <w:t>нажати</w:t>
      </w:r>
      <w:r w:rsidR="003F0D2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0D22" w:rsidRPr="003F0D22">
        <w:rPr>
          <w:rFonts w:ascii="Times New Roman" w:eastAsia="Times New Roman" w:hAnsi="Times New Roman" w:cs="Times New Roman"/>
          <w:sz w:val="24"/>
          <w:szCs w:val="24"/>
        </w:rPr>
        <w:t xml:space="preserve"> на кнопку «Соглашаюсь» в Уведомлении об использовании файлов </w:t>
      </w:r>
      <w:proofErr w:type="spellStart"/>
      <w:r w:rsidR="003F0D22" w:rsidRPr="003F0D22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="003F0D22" w:rsidRPr="003F0D22">
        <w:rPr>
          <w:rFonts w:ascii="Times New Roman" w:eastAsia="Times New Roman" w:hAnsi="Times New Roman" w:cs="Times New Roman"/>
          <w:sz w:val="24"/>
          <w:szCs w:val="24"/>
        </w:rPr>
        <w:t>, расположенном в нижней части сайта «Пульс».</w:t>
      </w:r>
      <w:r w:rsidR="002154BE" w:rsidRPr="00ED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717">
        <w:rPr>
          <w:rFonts w:ascii="Times New Roman" w:eastAsia="Times New Roman" w:hAnsi="Times New Roman" w:cs="Times New Roman"/>
          <w:sz w:val="24"/>
          <w:szCs w:val="24"/>
        </w:rPr>
        <w:t xml:space="preserve">Мы использует информацию, содержащуюся в файлах </w:t>
      </w:r>
      <w:proofErr w:type="spellStart"/>
      <w:r w:rsidRPr="00555717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555717">
        <w:rPr>
          <w:rFonts w:ascii="Times New Roman" w:eastAsia="Times New Roman" w:hAnsi="Times New Roman" w:cs="Times New Roman"/>
          <w:sz w:val="24"/>
          <w:szCs w:val="24"/>
        </w:rPr>
        <w:t xml:space="preserve"> только в указанных выше целях, после чего собранные данные будут храниться на Вашем устройстве в течение периода, который может зависеть от соответствующего типа файлов </w:t>
      </w:r>
      <w:proofErr w:type="spellStart"/>
      <w:r w:rsidRPr="00555717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555717">
        <w:rPr>
          <w:rFonts w:ascii="Times New Roman" w:eastAsia="Times New Roman" w:hAnsi="Times New Roman" w:cs="Times New Roman"/>
          <w:sz w:val="24"/>
          <w:szCs w:val="24"/>
        </w:rPr>
        <w:t xml:space="preserve">, но не превышая срока, необходимого для достижения их цели, после чего они будут автоматически удалены из Вашей системы </w:t>
      </w:r>
      <w:r w:rsidR="002154BE" w:rsidRPr="00ED45DF">
        <w:rPr>
          <w:rFonts w:ascii="Times New Roman" w:eastAsia="Times New Roman" w:hAnsi="Times New Roman" w:cs="Times New Roman"/>
          <w:sz w:val="24"/>
          <w:szCs w:val="24"/>
        </w:rPr>
        <w:t xml:space="preserve">или до момента отзыва Согласия </w:t>
      </w:r>
      <w:r w:rsidR="002154BE" w:rsidRPr="00ED45DF">
        <w:rPr>
          <w:rFonts w:ascii="Times New Roman" w:eastAsia="Times New Roman" w:hAnsi="Times New Roman" w:cs="Times New Roman"/>
          <w:sz w:val="24"/>
          <w:szCs w:val="24"/>
          <w:lang w:val="en-US"/>
        </w:rPr>
        <w:t>Cookie</w:t>
      </w:r>
      <w:r w:rsidR="002154BE" w:rsidRPr="00ED45DF">
        <w:rPr>
          <w:rFonts w:ascii="Times New Roman" w:eastAsia="Times New Roman" w:hAnsi="Times New Roman" w:cs="Times New Roman"/>
          <w:sz w:val="24"/>
          <w:szCs w:val="24"/>
        </w:rPr>
        <w:t xml:space="preserve"> или до достижения вышеуказанных целей обработки персональных данных.</w:t>
      </w:r>
    </w:p>
    <w:p w14:paraId="1A3B3F51" w14:textId="77777777" w:rsidR="00187303" w:rsidRPr="00187303" w:rsidRDefault="002154BE" w:rsidP="00187303">
      <w:pPr>
        <w:spacing w:after="0" w:line="240" w:lineRule="auto"/>
      </w:pPr>
      <w:r w:rsidRPr="00187303">
        <w:rPr>
          <w:rFonts w:ascii="Times New Roman" w:hAnsi="Times New Roman" w:cs="Times New Roman"/>
          <w:iCs/>
          <w:sz w:val="24"/>
          <w:szCs w:val="24"/>
        </w:rPr>
        <w:t>Я подтверждаю, что ознакомился с Политикой конфиденциальности сайта «Пульс», размещенной по ссылке:</w:t>
      </w:r>
      <w:r w:rsidR="00555717" w:rsidRPr="0018730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187303" w:rsidRPr="00187303">
          <w:rPr>
            <w:rStyle w:val="af0"/>
            <w:lang w:val="en-US"/>
          </w:rPr>
          <w:t>https</w:t>
        </w:r>
        <w:r w:rsidR="00187303" w:rsidRPr="00187303">
          <w:rPr>
            <w:rStyle w:val="af0"/>
          </w:rPr>
          <w:t>://</w:t>
        </w:r>
        <w:proofErr w:type="spellStart"/>
        <w:r w:rsidR="00187303" w:rsidRPr="00187303">
          <w:rPr>
            <w:rStyle w:val="af0"/>
            <w:lang w:val="en-US"/>
          </w:rPr>
          <w:t>hr</w:t>
        </w:r>
        <w:proofErr w:type="spellEnd"/>
        <w:r w:rsidR="00187303" w:rsidRPr="00187303">
          <w:rPr>
            <w:rStyle w:val="af0"/>
          </w:rPr>
          <w:t>.</w:t>
        </w:r>
        <w:proofErr w:type="spellStart"/>
        <w:r w:rsidR="00187303" w:rsidRPr="00187303">
          <w:rPr>
            <w:rStyle w:val="af0"/>
            <w:lang w:val="en-US"/>
          </w:rPr>
          <w:t>sberbank</w:t>
        </w:r>
        <w:proofErr w:type="spellEnd"/>
        <w:r w:rsidR="00187303" w:rsidRPr="00187303">
          <w:rPr>
            <w:rStyle w:val="af0"/>
          </w:rPr>
          <w:t>.</w:t>
        </w:r>
        <w:proofErr w:type="spellStart"/>
        <w:r w:rsidR="00187303" w:rsidRPr="00187303">
          <w:rPr>
            <w:rStyle w:val="af0"/>
            <w:lang w:val="en-US"/>
          </w:rPr>
          <w:t>ru</w:t>
        </w:r>
        <w:proofErr w:type="spellEnd"/>
        <w:r w:rsidR="00187303" w:rsidRPr="00187303">
          <w:rPr>
            <w:rStyle w:val="af0"/>
          </w:rPr>
          <w:t>/</w:t>
        </w:r>
        <w:r w:rsidR="00187303" w:rsidRPr="00187303">
          <w:rPr>
            <w:rStyle w:val="af0"/>
            <w:lang w:val="en-US"/>
          </w:rPr>
          <w:t>demo</w:t>
        </w:r>
        <w:r w:rsidR="00187303" w:rsidRPr="00187303">
          <w:rPr>
            <w:rStyle w:val="af0"/>
          </w:rPr>
          <w:t>/</w:t>
        </w:r>
        <w:r w:rsidR="00187303" w:rsidRPr="00187303">
          <w:rPr>
            <w:rStyle w:val="af0"/>
            <w:lang w:val="en-US"/>
          </w:rPr>
          <w:t>privacy</w:t>
        </w:r>
        <w:r w:rsidR="00187303" w:rsidRPr="00187303">
          <w:rPr>
            <w:rStyle w:val="af0"/>
          </w:rPr>
          <w:t>-</w:t>
        </w:r>
        <w:r w:rsidR="00187303" w:rsidRPr="00187303">
          <w:rPr>
            <w:rStyle w:val="af0"/>
            <w:lang w:val="en-US"/>
          </w:rPr>
          <w:t>policy</w:t>
        </w:r>
        <w:r w:rsidR="00187303" w:rsidRPr="00187303">
          <w:rPr>
            <w:rStyle w:val="af0"/>
          </w:rPr>
          <w:t>.</w:t>
        </w:r>
        <w:r w:rsidR="00187303" w:rsidRPr="00187303">
          <w:rPr>
            <w:rStyle w:val="af0"/>
            <w:lang w:val="en-US"/>
          </w:rPr>
          <w:t>docx</w:t>
        </w:r>
      </w:hyperlink>
    </w:p>
    <w:p w14:paraId="72DFD182" w14:textId="77777777" w:rsidR="007E3A84" w:rsidRPr="007E3A84" w:rsidRDefault="007E3A84" w:rsidP="00ED45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982F71" w14:textId="44D5659E" w:rsidR="002154BE" w:rsidRDefault="002154BE" w:rsidP="00ED45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3A84">
        <w:rPr>
          <w:rFonts w:ascii="Times New Roman" w:hAnsi="Times New Roman" w:cs="Times New Roman"/>
          <w:iCs/>
          <w:sz w:val="24"/>
          <w:szCs w:val="24"/>
        </w:rPr>
        <w:t xml:space="preserve">Согласия </w:t>
      </w:r>
      <w:proofErr w:type="spellStart"/>
      <w:r w:rsidRPr="007E3A84">
        <w:rPr>
          <w:rFonts w:ascii="Times New Roman" w:hAnsi="Times New Roman" w:cs="Times New Roman"/>
          <w:iCs/>
          <w:sz w:val="24"/>
          <w:szCs w:val="24"/>
        </w:rPr>
        <w:t>ПДн</w:t>
      </w:r>
      <w:proofErr w:type="spellEnd"/>
      <w:r w:rsidRPr="007E3A8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E3A84">
        <w:rPr>
          <w:rFonts w:ascii="Times New Roman" w:hAnsi="Times New Roman" w:cs="Times New Roman"/>
          <w:iCs/>
          <w:sz w:val="24"/>
          <w:szCs w:val="24"/>
        </w:rPr>
        <w:t>РПДн</w:t>
      </w:r>
      <w:proofErr w:type="spellEnd"/>
      <w:r w:rsidRPr="007E3A8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E3A84">
        <w:rPr>
          <w:rFonts w:ascii="Times New Roman" w:hAnsi="Times New Roman" w:cs="Times New Roman"/>
          <w:iCs/>
          <w:sz w:val="24"/>
          <w:szCs w:val="24"/>
          <w:lang w:val="en-US"/>
        </w:rPr>
        <w:t>Cookie</w:t>
      </w:r>
      <w:r w:rsidRPr="007E3A84">
        <w:rPr>
          <w:rFonts w:ascii="Times New Roman" w:hAnsi="Times New Roman" w:cs="Times New Roman"/>
          <w:iCs/>
          <w:sz w:val="24"/>
          <w:szCs w:val="24"/>
        </w:rPr>
        <w:t xml:space="preserve"> могут быть отозваны путем направления соответствующего заявления по адресу: 117997, г. Москва. ул. Вавилова, д. 19.</w:t>
      </w:r>
    </w:p>
    <w:p w14:paraId="49A844C0" w14:textId="77777777" w:rsidR="007E3A84" w:rsidRPr="007E3A84" w:rsidRDefault="007E3A84" w:rsidP="00ED45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60EBF7" w14:textId="109C5EAB" w:rsidR="002154BE" w:rsidRPr="00ED45DF" w:rsidRDefault="002154BE" w:rsidP="00ED45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5DF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ED45DF">
        <w:rPr>
          <w:rFonts w:ascii="Times New Roman" w:hAnsi="Times New Roman" w:cs="Times New Roman"/>
          <w:i/>
          <w:sz w:val="24"/>
          <w:szCs w:val="24"/>
        </w:rPr>
        <w:t>Cookie</w:t>
      </w:r>
      <w:proofErr w:type="spellEnd"/>
      <w:r w:rsidRPr="00ED45DF">
        <w:rPr>
          <w:rFonts w:ascii="Times New Roman" w:hAnsi="Times New Roman" w:cs="Times New Roman"/>
          <w:i/>
          <w:sz w:val="24"/>
          <w:szCs w:val="24"/>
        </w:rPr>
        <w:t xml:space="preserve"> – это технология, которая позволяет отследить и «запомнить» определенную информацию о пользователе и тех действиях, которые пользователь осуществляет при использовании сайта. Более подробную информацию о </w:t>
      </w:r>
      <w:r w:rsidR="0058575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D45DF">
        <w:rPr>
          <w:rFonts w:ascii="Times New Roman" w:hAnsi="Times New Roman" w:cs="Times New Roman"/>
          <w:i/>
          <w:sz w:val="24"/>
          <w:szCs w:val="24"/>
          <w:lang w:val="en-US"/>
        </w:rPr>
        <w:t>ookie</w:t>
      </w:r>
      <w:r w:rsidRPr="00ED45DF">
        <w:rPr>
          <w:rFonts w:ascii="Times New Roman" w:hAnsi="Times New Roman" w:cs="Times New Roman"/>
          <w:i/>
          <w:sz w:val="24"/>
          <w:szCs w:val="24"/>
        </w:rPr>
        <w:t xml:space="preserve"> можно посмотреть в Политике конфиденциальности сайта «Пульс».</w:t>
      </w:r>
    </w:p>
    <w:p w14:paraId="38B45EB9" w14:textId="7AA2A915" w:rsidR="000A3AC8" w:rsidRDefault="000A3AC8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3D8E94" w14:textId="77777777" w:rsidR="000A3AC8" w:rsidRPr="00840983" w:rsidRDefault="000A3AC8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0A3AC8" w:rsidRPr="00840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3063" w14:textId="77777777" w:rsidR="000E0701" w:rsidRDefault="000E0701" w:rsidP="00DE0A57">
      <w:pPr>
        <w:spacing w:after="0" w:line="240" w:lineRule="auto"/>
      </w:pPr>
      <w:r>
        <w:separator/>
      </w:r>
    </w:p>
  </w:endnote>
  <w:endnote w:type="continuationSeparator" w:id="0">
    <w:p w14:paraId="02D7933D" w14:textId="77777777" w:rsidR="000E0701" w:rsidRDefault="000E0701" w:rsidP="00D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9DF" w14:textId="77777777" w:rsidR="00ED45DF" w:rsidRDefault="00ED45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8698" w14:textId="6C286804" w:rsidR="00ED45DF" w:rsidRDefault="00721949">
    <w:pPr>
      <w:pStyle w:val="ac"/>
    </w:pPr>
    <w:r>
      <w:rPr>
        <w:noProof/>
        <w:lang w:eastAsia="ru-RU"/>
      </w:rPr>
      <w:drawing>
        <wp:inline distT="0" distB="0" distL="0" distR="0" wp14:anchorId="652B4F4C" wp14:editId="66F7AA4F">
          <wp:extent cx="9526" cy="9526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279" w14:textId="77777777" w:rsidR="00ED45DF" w:rsidRDefault="00ED45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6BF7" w14:textId="77777777" w:rsidR="000E0701" w:rsidRDefault="000E0701" w:rsidP="00DE0A57">
      <w:pPr>
        <w:spacing w:after="0" w:line="240" w:lineRule="auto"/>
      </w:pPr>
      <w:r>
        <w:separator/>
      </w:r>
    </w:p>
  </w:footnote>
  <w:footnote w:type="continuationSeparator" w:id="0">
    <w:p w14:paraId="4060560D" w14:textId="77777777" w:rsidR="000E0701" w:rsidRDefault="000E0701" w:rsidP="00D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BE09" w14:textId="77777777" w:rsidR="00ED45DF" w:rsidRDefault="00ED45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DB29" w14:textId="77777777" w:rsidR="00ED45DF" w:rsidRDefault="00ED45D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E345" w14:textId="77777777" w:rsidR="00ED45DF" w:rsidRDefault="00ED45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CDD"/>
    <w:multiLevelType w:val="multilevel"/>
    <w:tmpl w:val="CF36C4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12016218"/>
    <w:multiLevelType w:val="hybridMultilevel"/>
    <w:tmpl w:val="20F4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7E8C"/>
    <w:multiLevelType w:val="hybridMultilevel"/>
    <w:tmpl w:val="38AED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2AEE"/>
    <w:multiLevelType w:val="hybridMultilevel"/>
    <w:tmpl w:val="389E6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A3A06"/>
    <w:multiLevelType w:val="hybridMultilevel"/>
    <w:tmpl w:val="7D7C5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51B48"/>
    <w:multiLevelType w:val="hybridMultilevel"/>
    <w:tmpl w:val="B1F69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537D"/>
    <w:multiLevelType w:val="hybridMultilevel"/>
    <w:tmpl w:val="A22A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252E7"/>
    <w:multiLevelType w:val="hybridMultilevel"/>
    <w:tmpl w:val="D496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0494"/>
    <w:multiLevelType w:val="hybridMultilevel"/>
    <w:tmpl w:val="C8BC7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A7D84"/>
    <w:multiLevelType w:val="hybridMultilevel"/>
    <w:tmpl w:val="744C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978ED"/>
    <w:multiLevelType w:val="multilevel"/>
    <w:tmpl w:val="8BF83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8239BF"/>
    <w:multiLevelType w:val="hybridMultilevel"/>
    <w:tmpl w:val="47A0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6127"/>
    <w:multiLevelType w:val="hybridMultilevel"/>
    <w:tmpl w:val="A9FEE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74C5A"/>
    <w:multiLevelType w:val="hybridMultilevel"/>
    <w:tmpl w:val="D5A6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ACA"/>
    <w:multiLevelType w:val="multilevel"/>
    <w:tmpl w:val="2010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3D"/>
    <w:rsid w:val="000002FE"/>
    <w:rsid w:val="000011C0"/>
    <w:rsid w:val="00012158"/>
    <w:rsid w:val="00023A04"/>
    <w:rsid w:val="000424EF"/>
    <w:rsid w:val="0004393D"/>
    <w:rsid w:val="00056B8E"/>
    <w:rsid w:val="00057FA1"/>
    <w:rsid w:val="00063E84"/>
    <w:rsid w:val="00067247"/>
    <w:rsid w:val="000768CF"/>
    <w:rsid w:val="000927F2"/>
    <w:rsid w:val="000A3AC8"/>
    <w:rsid w:val="000B3724"/>
    <w:rsid w:val="000D38B8"/>
    <w:rsid w:val="000E0701"/>
    <w:rsid w:val="000E256A"/>
    <w:rsid w:val="000F01C3"/>
    <w:rsid w:val="000F1E84"/>
    <w:rsid w:val="000F237A"/>
    <w:rsid w:val="000F3518"/>
    <w:rsid w:val="00106BA0"/>
    <w:rsid w:val="00121123"/>
    <w:rsid w:val="00135E9B"/>
    <w:rsid w:val="00143AC6"/>
    <w:rsid w:val="00151F0F"/>
    <w:rsid w:val="001603EE"/>
    <w:rsid w:val="00175CDF"/>
    <w:rsid w:val="0018264A"/>
    <w:rsid w:val="00187303"/>
    <w:rsid w:val="001943DE"/>
    <w:rsid w:val="001A1D3A"/>
    <w:rsid w:val="001A6E76"/>
    <w:rsid w:val="001E32DC"/>
    <w:rsid w:val="001F582B"/>
    <w:rsid w:val="002031C5"/>
    <w:rsid w:val="002050BB"/>
    <w:rsid w:val="002063FD"/>
    <w:rsid w:val="0020650C"/>
    <w:rsid w:val="002151D9"/>
    <w:rsid w:val="002154BE"/>
    <w:rsid w:val="0023010C"/>
    <w:rsid w:val="002339EA"/>
    <w:rsid w:val="002463D2"/>
    <w:rsid w:val="002864CA"/>
    <w:rsid w:val="002926CB"/>
    <w:rsid w:val="00294E7E"/>
    <w:rsid w:val="00296B39"/>
    <w:rsid w:val="002B7BF6"/>
    <w:rsid w:val="002C679B"/>
    <w:rsid w:val="002D2750"/>
    <w:rsid w:val="002D6E29"/>
    <w:rsid w:val="002E7B56"/>
    <w:rsid w:val="002F6C5E"/>
    <w:rsid w:val="00304E4D"/>
    <w:rsid w:val="00305191"/>
    <w:rsid w:val="0031341B"/>
    <w:rsid w:val="00327CBC"/>
    <w:rsid w:val="00332FD4"/>
    <w:rsid w:val="003358DE"/>
    <w:rsid w:val="00335A5E"/>
    <w:rsid w:val="003503E7"/>
    <w:rsid w:val="00375207"/>
    <w:rsid w:val="00377EAB"/>
    <w:rsid w:val="003816E4"/>
    <w:rsid w:val="0038437C"/>
    <w:rsid w:val="00395512"/>
    <w:rsid w:val="003967D7"/>
    <w:rsid w:val="003A127F"/>
    <w:rsid w:val="003A291D"/>
    <w:rsid w:val="003C2956"/>
    <w:rsid w:val="003C3282"/>
    <w:rsid w:val="003D0250"/>
    <w:rsid w:val="003F0D22"/>
    <w:rsid w:val="003F0D4C"/>
    <w:rsid w:val="003F1A07"/>
    <w:rsid w:val="003F4250"/>
    <w:rsid w:val="0040312D"/>
    <w:rsid w:val="00406C07"/>
    <w:rsid w:val="004216C0"/>
    <w:rsid w:val="004240AF"/>
    <w:rsid w:val="004413F6"/>
    <w:rsid w:val="00446683"/>
    <w:rsid w:val="00446E41"/>
    <w:rsid w:val="0045752B"/>
    <w:rsid w:val="00476EFF"/>
    <w:rsid w:val="00486F3A"/>
    <w:rsid w:val="004873DB"/>
    <w:rsid w:val="0049259E"/>
    <w:rsid w:val="004A37B8"/>
    <w:rsid w:val="004B3821"/>
    <w:rsid w:val="004C118D"/>
    <w:rsid w:val="004C179B"/>
    <w:rsid w:val="004C53E1"/>
    <w:rsid w:val="004E448C"/>
    <w:rsid w:val="004E463D"/>
    <w:rsid w:val="00505711"/>
    <w:rsid w:val="00515FF6"/>
    <w:rsid w:val="005265E3"/>
    <w:rsid w:val="00527DA4"/>
    <w:rsid w:val="0053778C"/>
    <w:rsid w:val="00555717"/>
    <w:rsid w:val="00583A25"/>
    <w:rsid w:val="00585753"/>
    <w:rsid w:val="00587DB6"/>
    <w:rsid w:val="00590077"/>
    <w:rsid w:val="00591D19"/>
    <w:rsid w:val="005B186C"/>
    <w:rsid w:val="005B3B7C"/>
    <w:rsid w:val="005B6471"/>
    <w:rsid w:val="005D5654"/>
    <w:rsid w:val="005E1F62"/>
    <w:rsid w:val="005F2ED9"/>
    <w:rsid w:val="006010FC"/>
    <w:rsid w:val="006016F3"/>
    <w:rsid w:val="00611F03"/>
    <w:rsid w:val="00634C12"/>
    <w:rsid w:val="00641010"/>
    <w:rsid w:val="006460EB"/>
    <w:rsid w:val="00651427"/>
    <w:rsid w:val="00653208"/>
    <w:rsid w:val="00653789"/>
    <w:rsid w:val="006664FB"/>
    <w:rsid w:val="00677554"/>
    <w:rsid w:val="00680DC1"/>
    <w:rsid w:val="0068286E"/>
    <w:rsid w:val="006845DC"/>
    <w:rsid w:val="00687FCA"/>
    <w:rsid w:val="006C117E"/>
    <w:rsid w:val="006C56E3"/>
    <w:rsid w:val="006D0348"/>
    <w:rsid w:val="006D1D0F"/>
    <w:rsid w:val="006F4A69"/>
    <w:rsid w:val="00703B27"/>
    <w:rsid w:val="00705F5F"/>
    <w:rsid w:val="0071722F"/>
    <w:rsid w:val="00721949"/>
    <w:rsid w:val="00733F18"/>
    <w:rsid w:val="00746B0C"/>
    <w:rsid w:val="00762188"/>
    <w:rsid w:val="00774E95"/>
    <w:rsid w:val="00795063"/>
    <w:rsid w:val="007A24A8"/>
    <w:rsid w:val="007B704A"/>
    <w:rsid w:val="007E39B7"/>
    <w:rsid w:val="007E3A84"/>
    <w:rsid w:val="007E445C"/>
    <w:rsid w:val="00803BB8"/>
    <w:rsid w:val="008113EA"/>
    <w:rsid w:val="00812F23"/>
    <w:rsid w:val="008159C6"/>
    <w:rsid w:val="00816FC3"/>
    <w:rsid w:val="00831F59"/>
    <w:rsid w:val="00840983"/>
    <w:rsid w:val="00842F87"/>
    <w:rsid w:val="00851DC1"/>
    <w:rsid w:val="00867013"/>
    <w:rsid w:val="00880CFF"/>
    <w:rsid w:val="00881FA6"/>
    <w:rsid w:val="008B48A1"/>
    <w:rsid w:val="008B4937"/>
    <w:rsid w:val="008C7CFC"/>
    <w:rsid w:val="008D3DD0"/>
    <w:rsid w:val="008E1877"/>
    <w:rsid w:val="008F2A50"/>
    <w:rsid w:val="008F5590"/>
    <w:rsid w:val="00911E01"/>
    <w:rsid w:val="009202CE"/>
    <w:rsid w:val="00920337"/>
    <w:rsid w:val="00946FDD"/>
    <w:rsid w:val="00961CA6"/>
    <w:rsid w:val="00971EC0"/>
    <w:rsid w:val="00977CD3"/>
    <w:rsid w:val="009C0AFC"/>
    <w:rsid w:val="009C109F"/>
    <w:rsid w:val="009F5756"/>
    <w:rsid w:val="00A12ED9"/>
    <w:rsid w:val="00A17D62"/>
    <w:rsid w:val="00A207D1"/>
    <w:rsid w:val="00A20F0D"/>
    <w:rsid w:val="00A261E6"/>
    <w:rsid w:val="00A330B4"/>
    <w:rsid w:val="00A41924"/>
    <w:rsid w:val="00A507A1"/>
    <w:rsid w:val="00A56BBE"/>
    <w:rsid w:val="00A730A0"/>
    <w:rsid w:val="00A816EA"/>
    <w:rsid w:val="00A85514"/>
    <w:rsid w:val="00A90238"/>
    <w:rsid w:val="00AA3E2E"/>
    <w:rsid w:val="00AB0629"/>
    <w:rsid w:val="00AD0B92"/>
    <w:rsid w:val="00AD187F"/>
    <w:rsid w:val="00AD7BC0"/>
    <w:rsid w:val="00AE2353"/>
    <w:rsid w:val="00AF5025"/>
    <w:rsid w:val="00B029D3"/>
    <w:rsid w:val="00B06A0C"/>
    <w:rsid w:val="00B1637C"/>
    <w:rsid w:val="00B26494"/>
    <w:rsid w:val="00B474B2"/>
    <w:rsid w:val="00B6000B"/>
    <w:rsid w:val="00B73DD2"/>
    <w:rsid w:val="00B75386"/>
    <w:rsid w:val="00B849BA"/>
    <w:rsid w:val="00B97C1F"/>
    <w:rsid w:val="00BA4346"/>
    <w:rsid w:val="00BA5123"/>
    <w:rsid w:val="00BB40F4"/>
    <w:rsid w:val="00BB5E3D"/>
    <w:rsid w:val="00BD530E"/>
    <w:rsid w:val="00BF1683"/>
    <w:rsid w:val="00C0513A"/>
    <w:rsid w:val="00C16121"/>
    <w:rsid w:val="00C40D07"/>
    <w:rsid w:val="00C41E56"/>
    <w:rsid w:val="00C47065"/>
    <w:rsid w:val="00C62029"/>
    <w:rsid w:val="00C71E71"/>
    <w:rsid w:val="00C72962"/>
    <w:rsid w:val="00C92D30"/>
    <w:rsid w:val="00C9385D"/>
    <w:rsid w:val="00C9523C"/>
    <w:rsid w:val="00C9631F"/>
    <w:rsid w:val="00CA3957"/>
    <w:rsid w:val="00CB0C52"/>
    <w:rsid w:val="00CB7B75"/>
    <w:rsid w:val="00CB7FDD"/>
    <w:rsid w:val="00CD4243"/>
    <w:rsid w:val="00CD6843"/>
    <w:rsid w:val="00CE7314"/>
    <w:rsid w:val="00CE7A18"/>
    <w:rsid w:val="00CF5FEA"/>
    <w:rsid w:val="00D02094"/>
    <w:rsid w:val="00D06B06"/>
    <w:rsid w:val="00D13CC1"/>
    <w:rsid w:val="00D2121A"/>
    <w:rsid w:val="00D22859"/>
    <w:rsid w:val="00D42CB3"/>
    <w:rsid w:val="00D55835"/>
    <w:rsid w:val="00DB28BE"/>
    <w:rsid w:val="00DB4AEB"/>
    <w:rsid w:val="00DB59FD"/>
    <w:rsid w:val="00DB7E7E"/>
    <w:rsid w:val="00DC54FC"/>
    <w:rsid w:val="00DE0A57"/>
    <w:rsid w:val="00E06095"/>
    <w:rsid w:val="00E21896"/>
    <w:rsid w:val="00E2740F"/>
    <w:rsid w:val="00E32D94"/>
    <w:rsid w:val="00E374F4"/>
    <w:rsid w:val="00E62039"/>
    <w:rsid w:val="00E6376C"/>
    <w:rsid w:val="00E670E8"/>
    <w:rsid w:val="00E701AF"/>
    <w:rsid w:val="00E73AEC"/>
    <w:rsid w:val="00E807B5"/>
    <w:rsid w:val="00EA11A4"/>
    <w:rsid w:val="00EA5EE1"/>
    <w:rsid w:val="00EC14DD"/>
    <w:rsid w:val="00EC17C8"/>
    <w:rsid w:val="00EC5466"/>
    <w:rsid w:val="00ED3DC8"/>
    <w:rsid w:val="00ED45DF"/>
    <w:rsid w:val="00EF2FA2"/>
    <w:rsid w:val="00EF4B8C"/>
    <w:rsid w:val="00F10191"/>
    <w:rsid w:val="00F30EF5"/>
    <w:rsid w:val="00F374BF"/>
    <w:rsid w:val="00F40DDE"/>
    <w:rsid w:val="00F50A99"/>
    <w:rsid w:val="00F604F6"/>
    <w:rsid w:val="00F73147"/>
    <w:rsid w:val="00F81838"/>
    <w:rsid w:val="00F82137"/>
    <w:rsid w:val="00F87C9D"/>
    <w:rsid w:val="00F96FE7"/>
    <w:rsid w:val="00FB1BE1"/>
    <w:rsid w:val="00FB1DC7"/>
    <w:rsid w:val="00FB5366"/>
    <w:rsid w:val="00FC261B"/>
    <w:rsid w:val="00FD11CA"/>
    <w:rsid w:val="00FD7611"/>
    <w:rsid w:val="00FE00BA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0FEE3"/>
  <w15:docId w15:val="{13451777-CFD6-4E6D-A94B-D45F9E4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4E463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E463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E463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3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3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E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0A57"/>
  </w:style>
  <w:style w:type="paragraph" w:styleId="ac">
    <w:name w:val="footer"/>
    <w:basedOn w:val="a"/>
    <w:link w:val="ad"/>
    <w:uiPriority w:val="99"/>
    <w:unhideWhenUsed/>
    <w:rsid w:val="00DE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0A57"/>
  </w:style>
  <w:style w:type="paragraph" w:styleId="ae">
    <w:name w:val="List Paragraph"/>
    <w:basedOn w:val="a"/>
    <w:link w:val="af"/>
    <w:uiPriority w:val="34"/>
    <w:qFormat/>
    <w:rsid w:val="00DE0A5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587DB6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634C12"/>
    <w:pPr>
      <w:spacing w:after="0" w:line="240" w:lineRule="auto"/>
    </w:pPr>
  </w:style>
  <w:style w:type="character" w:customStyle="1" w:styleId="af">
    <w:name w:val="Абзац списка Знак"/>
    <w:link w:val="ae"/>
    <w:uiPriority w:val="34"/>
    <w:locked/>
    <w:rsid w:val="002154BE"/>
  </w:style>
  <w:style w:type="paragraph" w:styleId="HTML">
    <w:name w:val="HTML Preformatted"/>
    <w:basedOn w:val="a"/>
    <w:link w:val="HTML0"/>
    <w:uiPriority w:val="99"/>
    <w:unhideWhenUsed/>
    <w:rsid w:val="0021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54BE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21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2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sberbank.ru/demo/privacy-policy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AB09D412EF14C88A57C4FC08FC96175.dms.sberbank.ru/4AB09D412EF14C88A57C4FC08FC96175-E85C146B4CDE63083044F041B21B2173-F8F60A83EB7C12039E8F1C9328DA7B3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8270-93C0-4181-B15F-DF5E729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 Абышко</dc:creator>
  <cp:keywords/>
  <cp:lastModifiedBy>Microsoft Office User</cp:lastModifiedBy>
  <cp:revision>17</cp:revision>
  <dcterms:created xsi:type="dcterms:W3CDTF">2022-07-13T14:56:00Z</dcterms:created>
  <dcterms:modified xsi:type="dcterms:W3CDTF">2022-08-04T07:19:00Z</dcterms:modified>
</cp:coreProperties>
</file>